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rPr>
          <w:rFonts w:eastAsia="黑体"/>
          <w:sz w:val="30"/>
        </w:rPr>
      </w:pPr>
    </w:p>
    <w:p>
      <w:pPr>
        <w:rPr>
          <w:sz w:val="30"/>
        </w:rPr>
      </w:pP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经济与管理学院    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李丛 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高级会计师    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会计学       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教学型副教授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            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>填表时间：  2019   年   4   月  2   日</w:t>
      </w:r>
    </w:p>
    <w:p>
      <w:pPr>
        <w:ind w:firstLine="2400" w:firstLineChars="1000"/>
        <w:rPr>
          <w:sz w:val="24"/>
        </w:rPr>
      </w:pPr>
    </w:p>
    <w:p>
      <w:pPr>
        <w:jc w:val="center"/>
        <w:rPr>
          <w:sz w:val="32"/>
        </w:rPr>
      </w:pPr>
      <w:r>
        <w:rPr>
          <w:sz w:val="32"/>
        </w:rPr>
        <w:br w:type="page"/>
      </w:r>
    </w:p>
    <w:p>
      <w:pPr>
        <w:jc w:val="center"/>
        <w:rPr>
          <w:sz w:val="32"/>
        </w:rPr>
      </w:pP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ind w:firstLine="640" w:firstLineChars="200"/>
        <w:rPr>
          <w:sz w:val="32"/>
        </w:rPr>
      </w:pPr>
      <w:r>
        <w:rPr>
          <w:rFonts w:hint="eastAsia"/>
          <w:sz w:val="32"/>
        </w:rPr>
        <w:t>1.本表供本校专业技术人员评审高校系列专业技术资格时使用。１—10页由被评审者填写，第4页中思想品德鉴定和师德师风表现由所在单位填写并盖章。11—12页由二级学院评审工作委员会或职称办填写。填写内容应经人事部门审核认可，编号由人事（职改）部门统一编制。</w:t>
      </w:r>
    </w:p>
    <w:p>
      <w:pPr>
        <w:ind w:firstLine="640" w:firstLineChars="200"/>
        <w:rPr>
          <w:sz w:val="32"/>
        </w:rPr>
      </w:pPr>
      <w:r>
        <w:rPr>
          <w:rFonts w:hint="eastAsia"/>
          <w:sz w:val="32"/>
        </w:rPr>
        <w:t>2.年月日一律用公历阿拉伯数字填字。</w:t>
      </w:r>
    </w:p>
    <w:p>
      <w:pPr>
        <w:ind w:firstLine="640" w:firstLineChars="200"/>
      </w:pPr>
      <w:r>
        <w:rPr>
          <w:rFonts w:hint="eastAsia"/>
          <w:sz w:val="32"/>
        </w:rPr>
        <w:t>3.“相片”一律用近期一寸正面半身免冠照。</w:t>
      </w:r>
    </w:p>
    <w:p>
      <w:pPr>
        <w:ind w:firstLine="640" w:firstLineChars="200"/>
        <w:rPr>
          <w:sz w:val="32"/>
        </w:rPr>
      </w:pPr>
      <w:r>
        <w:rPr>
          <w:rFonts w:hint="eastAsia"/>
          <w:sz w:val="32"/>
        </w:rPr>
        <w:t>4.“毕业学校”填毕业学校当时的全称。</w:t>
      </w:r>
    </w:p>
    <w:p>
      <w:pPr>
        <w:ind w:firstLine="640" w:firstLineChars="200"/>
        <w:rPr>
          <w:sz w:val="32"/>
        </w:rPr>
      </w:pPr>
      <w:r>
        <w:rPr>
          <w:rFonts w:hint="eastAsia"/>
          <w:sz w:val="32"/>
        </w:rPr>
        <w:t>5.晋升形式：正常晋升或破格晋升或转评。</w:t>
      </w:r>
    </w:p>
    <w:p>
      <w:pPr>
        <w:ind w:firstLine="640" w:firstLineChars="200"/>
        <w:rPr>
          <w:sz w:val="32"/>
        </w:rPr>
      </w:pPr>
      <w:r>
        <w:rPr>
          <w:rFonts w:hint="eastAsia"/>
          <w:sz w:val="32"/>
        </w:rPr>
        <w:t>6.申报资格名称：讲师、实验师、专职思政讲师、教学型副教授、教学科研并重型副教授、科研型副教授、高级实验师、专职思政副教授、教学型教授、教学科研并重型教授、科研型教授、专职思政教授。</w:t>
      </w:r>
    </w:p>
    <w:p>
      <w:pPr>
        <w:ind w:firstLine="640" w:firstLineChars="200"/>
        <w:rPr>
          <w:sz w:val="32"/>
        </w:rPr>
      </w:pPr>
      <w:r>
        <w:rPr>
          <w:rFonts w:hint="eastAsia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ind w:firstLine="640" w:firstLineChars="200"/>
        <w:rPr>
          <w:sz w:val="32"/>
        </w:rPr>
      </w:pPr>
      <w:r>
        <w:rPr>
          <w:rFonts w:hint="eastAsia"/>
          <w:sz w:val="32"/>
        </w:rPr>
        <w:t>8.学年及学期表达：如2017-2018(一)、2015-2016(二)。</w:t>
      </w:r>
    </w:p>
    <w:p>
      <w:pPr>
        <w:ind w:firstLine="640" w:firstLineChars="200"/>
        <w:rPr>
          <w:sz w:val="32"/>
        </w:rPr>
      </w:pPr>
      <w:r>
        <w:rPr>
          <w:rFonts w:hint="eastAsia"/>
          <w:sz w:val="32"/>
        </w:rPr>
        <w:t>9.如填写表格内容较多，可自行增加行，没有内容的表格可删减行，但至少保留表头及一行，不可全删除。</w:t>
      </w:r>
    </w:p>
    <w:p>
      <w:pPr>
        <w:rPr>
          <w:sz w:val="32"/>
        </w:rPr>
      </w:pP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565"/>
        <w:gridCol w:w="425"/>
        <w:gridCol w:w="141"/>
        <w:gridCol w:w="142"/>
        <w:gridCol w:w="142"/>
        <w:gridCol w:w="567"/>
        <w:gridCol w:w="283"/>
        <w:gridCol w:w="284"/>
        <w:gridCol w:w="708"/>
        <w:gridCol w:w="289"/>
        <w:gridCol w:w="850"/>
        <w:gridCol w:w="16"/>
        <w:gridCol w:w="263"/>
        <w:gridCol w:w="709"/>
        <w:gridCol w:w="430"/>
        <w:gridCol w:w="276"/>
        <w:gridCol w:w="574"/>
        <w:gridCol w:w="142"/>
        <w:gridCol w:w="141"/>
        <w:gridCol w:w="426"/>
        <w:gridCol w:w="285"/>
        <w:gridCol w:w="8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李丛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1982.7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民盟盟员</w:t>
            </w:r>
          </w:p>
        </w:tc>
        <w:tc>
          <w:tcPr>
            <w:tcW w:w="1843" w:type="dxa"/>
            <w:gridSpan w:val="5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高等学校教师资格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济南大学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本科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硕士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会计学</w:t>
            </w:r>
          </w:p>
        </w:tc>
        <w:tc>
          <w:tcPr>
            <w:tcW w:w="1843" w:type="dxa"/>
            <w:gridSpan w:val="5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经济与管理学院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2004.9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253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会计学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晋升形式</w:t>
            </w:r>
          </w:p>
        </w:tc>
        <w:tc>
          <w:tcPr>
            <w:tcW w:w="8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转评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中级会计师，2009.5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高级会计师，2017.12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申请学科组名称</w:t>
            </w:r>
          </w:p>
        </w:tc>
        <w:tc>
          <w:tcPr>
            <w:tcW w:w="253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人文 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理工 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艺体外</w:t>
            </w:r>
          </w:p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学科 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实验 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思政</w:t>
            </w:r>
          </w:p>
        </w:tc>
        <w:tc>
          <w:tcPr>
            <w:tcW w:w="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外语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会计系主任，2018.6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经济与管理学院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 9 个月</w:t>
            </w:r>
          </w:p>
        </w:tc>
        <w:tc>
          <w:tcPr>
            <w:tcW w:w="85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高级会计师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会计学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教学型副教授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任现职以来获得省级以上荣誉情况</w:t>
            </w:r>
          </w:p>
        </w:tc>
        <w:tc>
          <w:tcPr>
            <w:tcW w:w="7517" w:type="dxa"/>
            <w:gridSpan w:val="20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1680" w:hanging="1680" w:hangingChars="80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优秀指导教师   第十一届“新道杯”全国大学生会计信息化技能大赛二等奖（工信部主办） 2017.11</w:t>
            </w:r>
          </w:p>
          <w:p>
            <w:pPr>
              <w:widowControl/>
              <w:ind w:left="1680" w:hanging="1680" w:hangingChars="80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优秀指导教师   第十届“新道杯”全国大学生会计信息化技能大赛 2016.11</w:t>
            </w:r>
            <w:r>
              <w:rPr>
                <w:rFonts w:hint="eastAsia"/>
              </w:rPr>
              <w:t>（中国高等教育学会主办）</w:t>
            </w:r>
          </w:p>
          <w:p>
            <w:pPr>
              <w:widowControl/>
              <w:ind w:left="1680" w:hanging="1680" w:hangingChars="80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优秀指导教师   第十三届全国大学生“新道杯”沙盘模拟经营大赛海南省决赛二等奖（中国高等教育学会主办）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破格申请条件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内外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2000.9—2004.6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全日制本科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济南大学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管理学院  会计学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盖丽娜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2006.9-2009.6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在职硕士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天津财经大学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会计学院  会计学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刘建军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2015.12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教育部教育管理信息中心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全国职业核心能力指导教师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2016.7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新道师资研究院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U8V10.1财务信息化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结业 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2016.11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上海国家会计学院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内控审计与采购审计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2016.12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中国职业技术教育学会教学工作委员会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名师谈课与教学系列活动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2018.5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北京国家会计学院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海南省会计领军培训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程燕芸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2018.8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中国现代教育协会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微课慕课优课视频制作从入门到精通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2018.9</w:t>
            </w:r>
          </w:p>
        </w:tc>
        <w:tc>
          <w:tcPr>
            <w:tcW w:w="7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培训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北京国家会计学院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海南省会计领军培训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程燕芸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781" w:type="dxa"/>
            <w:gridSpan w:val="2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2004 年9 月—2015   年 10 月</w:t>
            </w:r>
          </w:p>
        </w:tc>
        <w:tc>
          <w:tcPr>
            <w:tcW w:w="3265" w:type="dxa"/>
            <w:gridSpan w:val="8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济宁医学院</w:t>
            </w: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会计核算</w:t>
            </w: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副科长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2015年 10  月—   2017年 6  月</w:t>
            </w:r>
          </w:p>
        </w:tc>
        <w:tc>
          <w:tcPr>
            <w:tcW w:w="3265" w:type="dxa"/>
            <w:gridSpan w:val="8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海南大学应用科技学院</w:t>
            </w: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会计教学</w:t>
            </w: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会计专业负责人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2017年 6  月—   年   月</w:t>
            </w:r>
          </w:p>
        </w:tc>
        <w:tc>
          <w:tcPr>
            <w:tcW w:w="3265" w:type="dxa"/>
            <w:gridSpan w:val="8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海南师范大学经济与管理学院</w:t>
            </w: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会计教学</w:t>
            </w: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会计系主任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gridSpan w:val="4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gridSpan w:val="8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gridSpan w:val="7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gridSpan w:val="4"/>
          </w:tcPr>
          <w:p>
            <w:pPr>
              <w:rPr>
                <w:sz w:val="18"/>
              </w:rPr>
            </w:pPr>
          </w:p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08"/>
        <w:gridCol w:w="142"/>
        <w:gridCol w:w="1059"/>
        <w:gridCol w:w="1748"/>
        <w:gridCol w:w="170"/>
        <w:gridCol w:w="2126"/>
        <w:gridCol w:w="709"/>
        <w:gridCol w:w="709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基本条件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任现职以来的考核结果(高级职称至少填五年）</w:t>
            </w:r>
          </w:p>
        </w:tc>
        <w:tc>
          <w:tcPr>
            <w:tcW w:w="7371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□否</w:t>
            </w:r>
          </w:p>
        </w:tc>
        <w:tc>
          <w:tcPr>
            <w:tcW w:w="6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因                          延迟申请   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担任班主任或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辅导员时间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9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面向全校举办的公开学术讲座次数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教学业绩条件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必备条件</w:t>
            </w:r>
          </w:p>
        </w:tc>
        <w:tc>
          <w:tcPr>
            <w:tcW w:w="751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fldChar w:fldCharType="begin"/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hint="eastAsia" w:ascii="仿宋_GB2312" w:eastAsia="仿宋_GB2312"/>
                <w:szCs w:val="21"/>
              </w:rPr>
              <w:instrText xml:space="preserve">= 1 \* GB3</w:instrText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任现职以来，承担全日期本科生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13  </w:t>
            </w:r>
            <w:r>
              <w:rPr>
                <w:rFonts w:hint="eastAsia" w:ascii="仿宋_GB2312" w:eastAsia="仿宋_GB2312"/>
                <w:szCs w:val="21"/>
              </w:rPr>
              <w:t>门课程的讲授，其中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8 </w:t>
            </w:r>
            <w:r>
              <w:rPr>
                <w:rFonts w:hint="eastAsia" w:ascii="仿宋_GB2312" w:eastAsia="仿宋_GB2312"/>
                <w:szCs w:val="21"/>
              </w:rPr>
              <w:t>门为必修课；总计课堂教学授课时数为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>2132</w:t>
            </w:r>
            <w:r>
              <w:rPr>
                <w:rFonts w:hint="eastAsia" w:ascii="仿宋_GB2312" w:eastAsia="仿宋_GB2312"/>
                <w:szCs w:val="21"/>
              </w:rPr>
              <w:t>学时，年平均课堂授课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609  </w:t>
            </w:r>
            <w:r>
              <w:rPr>
                <w:rFonts w:hint="eastAsia" w:ascii="仿宋_GB2312" w:eastAsia="仿宋_GB2312"/>
                <w:szCs w:val="21"/>
              </w:rPr>
              <w:t>学时，课堂教学质量测评“优秀”的次数达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%。</w:t>
            </w:r>
            <w:r>
              <w:rPr>
                <w:rFonts w:hint="eastAsia" w:ascii="仿宋_GB2312" w:eastAsia="仿宋_GB2312"/>
                <w:color w:val="FF0000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color w:val="FF0000"/>
                <w:szCs w:val="21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color w:val="FF0000"/>
                <w:szCs w:val="21"/>
              </w:rPr>
              <w:t>档次。</w:t>
            </w:r>
          </w:p>
          <w:p>
            <w:pPr>
              <w:spacing w:line="300" w:lineRule="exact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2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>
            <w:pPr>
              <w:spacing w:line="300" w:lineRule="exact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3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③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>
            <w:pPr>
              <w:spacing w:line="300" w:lineRule="exact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4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④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任选条件</w:t>
            </w:r>
          </w:p>
        </w:tc>
        <w:tc>
          <w:tcPr>
            <w:tcW w:w="751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④获得校级及以上教学大赛奖励  ⑧指导学生参加各专业类竞赛，获得国家级奖励（指导团队成员）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必备条件</w:t>
            </w:r>
            <w:r>
              <w:rPr>
                <w:rFonts w:ascii="仿宋_GB2312" w:eastAsia="仿宋_GB2312"/>
                <w:szCs w:val="21"/>
              </w:rPr>
              <w:fldChar w:fldCharType="begin"/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hint="eastAsia" w:ascii="仿宋_GB2312" w:eastAsia="仿宋_GB2312"/>
                <w:szCs w:val="21"/>
              </w:rPr>
              <w:instrText xml:space="preserve">= 1 \* GB3</w:instrText>
            </w:r>
            <w:r>
              <w:rPr>
                <w:rFonts w:ascii="仿宋_GB2312" w:eastAsia="仿宋_GB2312"/>
                <w:szCs w:val="21"/>
              </w:rPr>
              <w:instrText xml:space="preserve"> </w:instrText>
            </w:r>
            <w:r>
              <w:rPr>
                <w:rFonts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b/>
                <w:szCs w:val="21"/>
              </w:rPr>
              <w:t>任现职以来教学工作情况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课堂时数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2018-2019第1学期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高级财务会计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2016级会计1.2班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pacing w:val="-24"/>
                <w:szCs w:val="21"/>
              </w:rPr>
            </w:pPr>
            <w:r>
              <w:rPr>
                <w:rFonts w:hint="eastAsia" w:ascii="仿宋_GB2312" w:eastAsia="仿宋_GB2312"/>
                <w:spacing w:val="-24"/>
                <w:szCs w:val="21"/>
              </w:rPr>
              <w:t>51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合班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2018-2019第1学期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高级财务会计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2016级会计3班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2018-2019第1学期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高级财务会计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2018级会计3+2班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2018-2019第1学期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基础会计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2017级会计3班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2018-2019第1学期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会计学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2017级金融1.2班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合班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2017-2018第2学期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中级财务会计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2016级会计3班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2017-2018第2学期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税收筹划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2015级金融1.2班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合班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2017-2018第2学期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预算会计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2017级会计3+2班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2017-2018第1学期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高级财务会计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2017级会计3+2班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2017-2018第1学期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会计学原理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2016级会计3班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2017-2018第1学期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会计学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2016级金融1班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51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2017-2018第1学期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会计电算化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2015级会计1-4班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288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2017-2018第1学期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成本会计学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2015级会计1-4班、财务管理3-4班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192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2017-2018第1学期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成本会计学实训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2015级会计3-4班、财务管理3-4班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144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2016-2017第2学期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审计学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2014级会计1-4班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2016-2017第2学期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审计学实训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2014级会计1-4班，2014级财务管理1-4班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128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2016-2017第2学期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成本会计学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2015级会计3-4班，2015级财务管理3-4班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128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2016-2017第2学期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会计综合模拟实训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2014级财务管理1-4班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64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  -2017 学年第 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会计电算化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2014级会计1-4班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144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  -2017 学年第 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内部控制学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2014级财务管理1-4班，2014级会计1-4班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160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  -2017 学年第 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中级财务会计实训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2014级财务管理1-4班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2016  -2017 学年第 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审计学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2014级财务管理1-4班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2015  -2016 学年第 1学期</w:t>
            </w:r>
          </w:p>
        </w:tc>
        <w:tc>
          <w:tcPr>
            <w:tcW w:w="36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审计学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2013级财务管理1-4班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80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优秀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分班</w:t>
            </w:r>
          </w:p>
        </w:tc>
      </w:tr>
    </w:tbl>
    <w:tbl>
      <w:tblPr>
        <w:tblStyle w:val="6"/>
        <w:tblW w:w="9781" w:type="dxa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22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仿宋_GB2312" w:eastAsia="仿宋_GB2312"/>
                <w:b/>
                <w:szCs w:val="21"/>
              </w:rPr>
              <w:t>教学业绩必备条件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2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221" w:type="dxa"/>
          </w:tcPr>
          <w:p/>
          <w:p>
            <w:r>
              <w:rPr>
                <w:rFonts w:hint="eastAsia"/>
              </w:rPr>
              <w:t>承担我校2014、2015级会计专业毕业论文实习和论文指导工作，指导2014级会计毕业生论文15篇。在原单位（海南大学）担任2013、2014级会计、财务管理专业毕业论文指导工作，计32篇，负责2014级毕业实习工作。</w:t>
            </w:r>
          </w:p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仿宋_GB2312" w:eastAsia="仿宋_GB2312"/>
                <w:b/>
                <w:szCs w:val="21"/>
              </w:rPr>
              <w:t>教学业绩必备条件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3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③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221" w:type="dxa"/>
          </w:tcPr>
          <w:p/>
          <w:p>
            <w:pPr>
              <w:numPr>
                <w:ilvl w:val="0"/>
                <w:numId w:val="1"/>
              </w:numPr>
              <w:rPr>
                <w:rFonts w:ascii="Arial" w:hAnsi="Arial" w:eastAsia="宋体" w:cs="Arial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Arial" w:hAnsi="Arial" w:eastAsia="宋体" w:cs="Arial"/>
                <w:color w:val="333333"/>
                <w:szCs w:val="21"/>
                <w:shd w:val="clear" w:color="auto" w:fill="FFFFFF"/>
              </w:rPr>
              <w:t>李丛,杨碧琴.应用型会计专业本科人才培养问题研究——以海南省高校为例[J].教育现代化,2018,5(13):11-13.</w:t>
            </w:r>
          </w:p>
          <w:p>
            <w:pPr>
              <w:numPr>
                <w:ilvl w:val="0"/>
                <w:numId w:val="1"/>
              </w:numPr>
              <w:rPr>
                <w:rFonts w:ascii="Arial" w:hAnsi="Arial" w:eastAsia="宋体" w:cs="Arial"/>
                <w:color w:val="333333"/>
                <w:szCs w:val="21"/>
                <w:shd w:val="clear" w:color="auto" w:fill="FFFFFF"/>
              </w:rPr>
            </w:pPr>
            <w:r>
              <w:rPr>
                <w:rFonts w:hint="eastAsia" w:ascii="Arial" w:hAnsi="Arial" w:eastAsia="宋体" w:cs="Arial"/>
                <w:color w:val="333333"/>
                <w:szCs w:val="21"/>
                <w:shd w:val="clear" w:color="auto" w:fill="FFFFFF"/>
              </w:rPr>
              <w:t>李丛,章秋瑜.基于大学生学情调查的教学改革研究——以海南大学应用科技学院本科生为例[J].教育教学论坛,2017(07):103-105.</w:t>
            </w:r>
          </w:p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教学业绩必备条件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= 4 \* GB3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instrText xml:space="preserve"> </w:instrTex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④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22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</w:t>
            </w:r>
            <w:r>
              <w:rPr>
                <w:rFonts w:hint="eastAsia" w:ascii="仿宋_GB2312" w:eastAsia="仿宋_GB2312"/>
                <w:b/>
                <w:szCs w:val="21"/>
              </w:rPr>
              <w:t>业绩</w:t>
            </w:r>
            <w:r>
              <w:rPr>
                <w:rFonts w:hint="eastAsia"/>
              </w:rPr>
              <w:t>任选条件</w:t>
            </w:r>
          </w:p>
        </w:tc>
        <w:tc>
          <w:tcPr>
            <w:tcW w:w="8221" w:type="dxa"/>
          </w:tcPr>
          <w:p>
            <w:r>
              <w:rPr>
                <w:rFonts w:hint="eastAsia"/>
              </w:rPr>
              <w:t>④获得校级及以上教学大赛奖励：2018年第十届青年教师教学大赛理科组第二名</w:t>
            </w:r>
          </w:p>
          <w:p>
            <w:r>
              <w:rPr>
                <w:rFonts w:hint="eastAsia"/>
              </w:rPr>
              <w:t>⑧指导学生参加各专业类竞赛，获得国家级奖励（指导团队成员）：第十届、十一届“新道杯”全国大学生会计信息化技能大赛全国联赛指导代表队获二等奖，评为优秀指导教师（2016-2017连续2年）</w:t>
            </w:r>
          </w:p>
          <w:p>
            <w:pPr>
              <w:rPr>
                <w:rFonts w:ascii="仿宋_GB2312" w:hAnsi="宋体" w:eastAsia="仿宋_GB2312"/>
                <w:spacing w:val="2"/>
                <w:sz w:val="32"/>
                <w:szCs w:val="32"/>
              </w:rPr>
            </w:pPr>
            <w:r>
              <w:rPr>
                <w:rFonts w:hint="eastAsia"/>
              </w:rPr>
              <w:t>或获得省级二等奖以上奖励（指导团队排名前二）：中国高等教育学会主办的第十三届全国大学生“新道杯”沙盘模拟经营大赛海南省决赛二等奖，优秀指导教师</w:t>
            </w: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334"/>
        <w:gridCol w:w="708"/>
        <w:gridCol w:w="1542"/>
        <w:gridCol w:w="955"/>
        <w:gridCol w:w="1584"/>
        <w:gridCol w:w="722"/>
        <w:gridCol w:w="1064"/>
        <w:gridCol w:w="1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91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科研业绩条件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必备条件</w:t>
            </w:r>
          </w:p>
        </w:tc>
        <w:tc>
          <w:tcPr>
            <w:tcW w:w="7163" w:type="dxa"/>
            <w:gridSpan w:val="6"/>
            <w:tcBorders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海口市社会科学研究2016年自筹项目(2016-ZCKT-27),海口市“菜篮子”工程建设研究，2017年1月已结题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在C类刊物发表论文3篇。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[1]李丛.合并报表中的优先股合并抵销问题探析——基于《优先股试点管理办法》.财会通讯，独著，2017.6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[2]李丛.段华友.姬喆. 互联网零售企业获取销售返利的会计处理[J]会计之友 2018.6北大核心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[3]唐若铭(学生).李丛(通讯作者)技术性贸易壁垒对我国外贸产品出口的影响及对策[J]商业经济研究 2018.8 北大核心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br w:type="textWrapping"/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1910" w:type="dxa"/>
            <w:gridSpan w:val="2"/>
            <w:vMerge w:val="continue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任选条件</w:t>
            </w:r>
          </w:p>
        </w:tc>
        <w:tc>
          <w:tcPr>
            <w:tcW w:w="7163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25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专著：李丛.会计理论与会计报表研究，北京工业大学出版社，2018.5 CIP148663，ISBN978-7-5639-5714-9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fldChar w:fldCharType="end"/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④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⑤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⑥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⑦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910" w:type="dxa"/>
            <w:gridSpan w:val="2"/>
            <w:vMerge w:val="continue"/>
          </w:tcPr>
          <w:p>
            <w:pPr>
              <w:widowControl/>
              <w:jc w:val="center"/>
              <w:rPr>
                <w:rFonts w:ascii="宋体" w:hAnsi="宋体" w:eastAsia="宋体" w:cs="Arial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学术讲座</w:t>
            </w:r>
          </w:p>
        </w:tc>
        <w:tc>
          <w:tcPr>
            <w:tcW w:w="7163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个人校内学术讲座次数（ 1  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纵向科研项目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84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955" w:type="dxa"/>
            <w:vAlign w:val="center"/>
          </w:tcPr>
          <w:p>
            <w:r>
              <w:rPr>
                <w:rFonts w:hint="eastAsia"/>
              </w:rPr>
              <w:t>批准号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722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立项时间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立项经费（万元）</w:t>
            </w:r>
          </w:p>
        </w:tc>
        <w:tc>
          <w:tcPr>
            <w:tcW w:w="1296" w:type="dxa"/>
            <w:vAlign w:val="center"/>
          </w:tcPr>
          <w:p>
            <w:r>
              <w:rPr>
                <w:rFonts w:hint="eastAsia"/>
              </w:rPr>
              <w:t>是否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  <w:p/>
        </w:tc>
        <w:tc>
          <w:tcPr>
            <w:tcW w:w="3584" w:type="dxa"/>
            <w:gridSpan w:val="3"/>
            <w:vAlign w:val="center"/>
          </w:tcPr>
          <w:p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海口市“菜篮子”工程建设研究</w:t>
            </w:r>
          </w:p>
        </w:tc>
        <w:tc>
          <w:tcPr>
            <w:tcW w:w="955" w:type="dxa"/>
            <w:vAlign w:val="center"/>
          </w:tcPr>
          <w:p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2016-ZCKT-27</w:t>
            </w:r>
          </w:p>
        </w:tc>
        <w:tc>
          <w:tcPr>
            <w:tcW w:w="1584" w:type="dxa"/>
            <w:vAlign w:val="center"/>
          </w:tcPr>
          <w:p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海口市社会科学研究2016年</w:t>
            </w:r>
          </w:p>
        </w:tc>
        <w:tc>
          <w:tcPr>
            <w:tcW w:w="722" w:type="dxa"/>
            <w:vAlign w:val="center"/>
          </w:tcPr>
          <w:p>
            <w:r>
              <w:rPr>
                <w:rFonts w:hint="eastAsia"/>
              </w:rPr>
              <w:t>2016.4</w:t>
            </w:r>
          </w:p>
        </w:tc>
        <w:tc>
          <w:tcPr>
            <w:tcW w:w="1064" w:type="dxa"/>
            <w:vAlign w:val="center"/>
          </w:tcPr>
          <w:p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自筹项目</w:t>
            </w:r>
          </w:p>
        </w:tc>
        <w:tc>
          <w:tcPr>
            <w:tcW w:w="1296" w:type="dxa"/>
            <w:vAlign w:val="center"/>
          </w:tcPr>
          <w:p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</w:tc>
        <w:tc>
          <w:tcPr>
            <w:tcW w:w="3584" w:type="dxa"/>
            <w:gridSpan w:val="3"/>
            <w:vAlign w:val="center"/>
          </w:tcPr>
          <w:p/>
        </w:tc>
        <w:tc>
          <w:tcPr>
            <w:tcW w:w="955" w:type="dxa"/>
            <w:vAlign w:val="center"/>
          </w:tcPr>
          <w:p/>
        </w:tc>
        <w:tc>
          <w:tcPr>
            <w:tcW w:w="1584" w:type="dxa"/>
            <w:vAlign w:val="center"/>
          </w:tcPr>
          <w:p/>
        </w:tc>
        <w:tc>
          <w:tcPr>
            <w:tcW w:w="722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  <w:tc>
          <w:tcPr>
            <w:tcW w:w="1296" w:type="dxa"/>
            <w:vAlign w:val="center"/>
          </w:tcPr>
          <w:p/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</w:tc>
        <w:tc>
          <w:tcPr>
            <w:tcW w:w="3584" w:type="dxa"/>
            <w:gridSpan w:val="3"/>
            <w:vAlign w:val="center"/>
          </w:tcPr>
          <w:p/>
        </w:tc>
        <w:tc>
          <w:tcPr>
            <w:tcW w:w="955" w:type="dxa"/>
            <w:vAlign w:val="center"/>
          </w:tcPr>
          <w:p/>
        </w:tc>
        <w:tc>
          <w:tcPr>
            <w:tcW w:w="1584" w:type="dxa"/>
            <w:vAlign w:val="center"/>
          </w:tcPr>
          <w:p/>
        </w:tc>
        <w:tc>
          <w:tcPr>
            <w:tcW w:w="722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  <w:tc>
          <w:tcPr>
            <w:tcW w:w="1296" w:type="dxa"/>
            <w:vAlign w:val="center"/>
          </w:tcPr>
          <w:p/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  <w:p/>
        </w:tc>
        <w:tc>
          <w:tcPr>
            <w:tcW w:w="3584" w:type="dxa"/>
            <w:gridSpan w:val="3"/>
            <w:vAlign w:val="center"/>
          </w:tcPr>
          <w:p/>
        </w:tc>
        <w:tc>
          <w:tcPr>
            <w:tcW w:w="955" w:type="dxa"/>
            <w:vAlign w:val="center"/>
          </w:tcPr>
          <w:p/>
        </w:tc>
        <w:tc>
          <w:tcPr>
            <w:tcW w:w="1584" w:type="dxa"/>
            <w:vAlign w:val="center"/>
          </w:tcPr>
          <w:p/>
        </w:tc>
        <w:tc>
          <w:tcPr>
            <w:tcW w:w="722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  <w:tc>
          <w:tcPr>
            <w:tcW w:w="1296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76" w:type="dxa"/>
            <w:vAlign w:val="center"/>
          </w:tcPr>
          <w:p/>
          <w:p/>
        </w:tc>
        <w:tc>
          <w:tcPr>
            <w:tcW w:w="3584" w:type="dxa"/>
            <w:gridSpan w:val="3"/>
            <w:vAlign w:val="center"/>
          </w:tcPr>
          <w:p/>
        </w:tc>
        <w:tc>
          <w:tcPr>
            <w:tcW w:w="955" w:type="dxa"/>
            <w:vAlign w:val="center"/>
          </w:tcPr>
          <w:p/>
        </w:tc>
        <w:tc>
          <w:tcPr>
            <w:tcW w:w="1584" w:type="dxa"/>
            <w:vAlign w:val="center"/>
          </w:tcPr>
          <w:p/>
        </w:tc>
        <w:tc>
          <w:tcPr>
            <w:tcW w:w="722" w:type="dxa"/>
            <w:vAlign w:val="center"/>
          </w:tcPr>
          <w:p/>
        </w:tc>
        <w:tc>
          <w:tcPr>
            <w:tcW w:w="1064" w:type="dxa"/>
            <w:vAlign w:val="center"/>
          </w:tcPr>
          <w:p/>
        </w:tc>
        <w:tc>
          <w:tcPr>
            <w:tcW w:w="1296" w:type="dxa"/>
            <w:vAlign w:val="center"/>
          </w:tcPr>
          <w:p/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3171"/>
        <w:gridCol w:w="3260"/>
        <w:gridCol w:w="709"/>
        <w:gridCol w:w="850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b/>
                <w:bCs/>
              </w:rPr>
              <w:t>必备条件之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发表学术论文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48" w:hRule="atLeast"/>
        </w:trPr>
        <w:tc>
          <w:tcPr>
            <w:tcW w:w="9781" w:type="dxa"/>
            <w:gridSpan w:val="6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以第一作者（或通信作者）发表论文总数：   篇，其中：A类   篇，B类   篇，C类 3 篇，D类  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刊物名称，发表时间和刊期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（有或无）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合并报表中的优先股合并抵销问题探析——基于《优先股试点管理办法》</w:t>
            </w:r>
          </w:p>
        </w:tc>
        <w:tc>
          <w:tcPr>
            <w:tcW w:w="3260" w:type="dxa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财会通讯，2017.6，北大核心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color w:val="333333"/>
                <w:szCs w:val="21"/>
                <w:shd w:val="clear" w:color="auto" w:fill="FFFFFF"/>
              </w:rPr>
              <w:t>2017(16):64-66+4.</w:t>
            </w:r>
          </w:p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互联网零售企业获取销售返利的会计处理</w:t>
            </w:r>
          </w:p>
        </w:tc>
        <w:tc>
          <w:tcPr>
            <w:tcW w:w="3260" w:type="dxa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会计之友，2018.6，北大核心</w:t>
            </w:r>
          </w:p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color w:val="333333"/>
                <w:szCs w:val="21"/>
                <w:shd w:val="clear" w:color="auto" w:fill="FFFFFF"/>
              </w:rPr>
              <w:t>2018(13):125-127.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中国人民大学报刊资料中心复印报刊资料F1011《财务与会计导刊（上半月.实务版）》2018年第10期全文转载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技术性贸易壁垒对我国外贸产品出口的影响及对策</w:t>
            </w:r>
          </w:p>
        </w:tc>
        <w:tc>
          <w:tcPr>
            <w:tcW w:w="3260" w:type="dxa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商业经济研究 2018.8 北大核心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eastAsia="宋体" w:cs="Arial"/>
                <w:color w:val="333333"/>
                <w:szCs w:val="21"/>
                <w:shd w:val="clear" w:color="auto" w:fill="FFFFFF"/>
              </w:rPr>
              <w:t>2018(16):136-138.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850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/>
    <w:tbl>
      <w:tblPr>
        <w:tblStyle w:val="6"/>
        <w:tblpPr w:leftFromText="180" w:rightFromText="180" w:vertAnchor="text" w:horzAnchor="page" w:tblpX="1236" w:tblpY="185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277"/>
        <w:gridCol w:w="655"/>
        <w:gridCol w:w="1058"/>
        <w:gridCol w:w="1276"/>
        <w:gridCol w:w="851"/>
        <w:gridCol w:w="1134"/>
        <w:gridCol w:w="992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747" w:type="dxa"/>
            <w:gridSpan w:val="9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1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①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出版学术著作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>
            <w:pPr>
              <w:ind w:firstLine="840" w:firstLineChars="400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655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类别</w:t>
            </w:r>
          </w:p>
        </w:tc>
        <w:tc>
          <w:tcPr>
            <w:tcW w:w="1058" w:type="dxa"/>
            <w:vAlign w:val="center"/>
          </w:tcPr>
          <w:p>
            <w:r>
              <w:rPr>
                <w:rFonts w:hint="eastAsia"/>
              </w:rPr>
              <w:t>合（独）著译及排名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CIP核字号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个人撰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>
            <w:r>
              <w:rPr>
                <w:rFonts w:hint="eastAsia"/>
              </w:rPr>
              <w:t>1</w:t>
            </w:r>
          </w:p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会计理论与会计报表研究</w:t>
            </w:r>
          </w:p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>
            <w:r>
              <w:rPr>
                <w:rFonts w:hint="eastAsia"/>
              </w:rPr>
              <w:t>独著</w:t>
            </w:r>
          </w:p>
        </w:tc>
        <w:tc>
          <w:tcPr>
            <w:tcW w:w="1276" w:type="dxa"/>
            <w:vAlign w:val="center"/>
          </w:tcPr>
          <w:p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北京工业大学出版社，2018.5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CIP148663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850" w:type="dxa"/>
            <w:vAlign w:val="center"/>
          </w:tcPr>
          <w:p>
            <w:r>
              <w:rPr>
                <w:rFonts w:hint="eastAsia"/>
              </w:rPr>
              <w:t>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277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655" w:type="dxa"/>
            <w:vAlign w:val="center"/>
          </w:tcPr>
          <w:p/>
        </w:tc>
        <w:tc>
          <w:tcPr>
            <w:tcW w:w="1058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</w:tbl>
    <w:p/>
    <w:tbl>
      <w:tblPr>
        <w:tblStyle w:val="6"/>
        <w:tblpPr w:leftFromText="180" w:rightFromText="180" w:vertAnchor="text" w:horzAnchor="page" w:tblpX="1242" w:tblpY="185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36"/>
        <w:gridCol w:w="1200"/>
        <w:gridCol w:w="1882"/>
        <w:gridCol w:w="1077"/>
        <w:gridCol w:w="928"/>
        <w:gridCol w:w="897"/>
        <w:gridCol w:w="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747" w:type="dxa"/>
            <w:gridSpan w:val="8"/>
            <w:vAlign w:val="center"/>
          </w:tcPr>
          <w:p>
            <w:pPr>
              <w:ind w:firstLine="3373" w:firstLineChars="1600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/>
                <w:b/>
                <w:bCs/>
              </w:rPr>
              <w:fldChar w:fldCharType="begin"/>
            </w:r>
            <w:r>
              <w:rPr>
                <w:rFonts w:hint="eastAsia"/>
                <w:b/>
                <w:bCs/>
              </w:rPr>
              <w:instrText xml:space="preserve"> = 2 \* GB3 </w:instrText>
            </w:r>
            <w:r>
              <w:rPr>
                <w:rFonts w:hint="eastAsia"/>
                <w:b/>
                <w:bCs/>
              </w:rPr>
              <w:fldChar w:fldCharType="separate"/>
            </w:r>
            <w:r>
              <w:rPr>
                <w:rFonts w:hint="eastAsia"/>
                <w:b/>
                <w:bCs/>
              </w:rPr>
              <w:t>②</w:t>
            </w:r>
            <w:r>
              <w:rPr>
                <w:rFonts w:hint="eastAsia"/>
                <w:b/>
                <w:bCs/>
              </w:rPr>
              <w:fldChar w:fldCharType="end"/>
            </w:r>
            <w:r>
              <w:rPr>
                <w:rFonts w:hint="eastAsia"/>
                <w:b/>
                <w:bCs/>
              </w:rPr>
              <w:t xml:space="preserve"> 科研成果奖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获奖等级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89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第几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8" w:type="dxa"/>
            <w:vAlign w:val="center"/>
          </w:tcPr>
          <w:p>
            <w:pPr>
              <w:jc w:val="center"/>
            </w:pPr>
          </w:p>
        </w:tc>
        <w:tc>
          <w:tcPr>
            <w:tcW w:w="897" w:type="dxa"/>
            <w:vAlign w:val="center"/>
          </w:tcPr>
          <w:p>
            <w:pPr>
              <w:jc w:val="center"/>
            </w:pPr>
          </w:p>
        </w:tc>
        <w:tc>
          <w:tcPr>
            <w:tcW w:w="852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523"/>
        <w:gridCol w:w="1639"/>
        <w:gridCol w:w="1063"/>
        <w:gridCol w:w="928"/>
        <w:gridCol w:w="1091"/>
        <w:gridCol w:w="9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 任选条件之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③</w:t>
            </w:r>
            <w:r>
              <w:rPr>
                <w:rFonts w:hint="eastAsia"/>
                <w:b/>
                <w:bCs/>
              </w:rPr>
              <w:t xml:space="preserve"> 社会服务效益（经费）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5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项目（成果）名称</w:t>
            </w:r>
          </w:p>
        </w:tc>
        <w:tc>
          <w:tcPr>
            <w:tcW w:w="163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到账经费（万元）</w:t>
            </w:r>
          </w:p>
        </w:tc>
        <w:tc>
          <w:tcPr>
            <w:tcW w:w="970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/>
          <w:p/>
        </w:tc>
        <w:tc>
          <w:tcPr>
            <w:tcW w:w="3523" w:type="dxa"/>
            <w:vAlign w:val="center"/>
          </w:tcPr>
          <w:p/>
        </w:tc>
        <w:tc>
          <w:tcPr>
            <w:tcW w:w="1639" w:type="dxa"/>
            <w:vAlign w:val="center"/>
          </w:tcPr>
          <w:p/>
        </w:tc>
        <w:tc>
          <w:tcPr>
            <w:tcW w:w="1063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091" w:type="dxa"/>
            <w:vAlign w:val="center"/>
          </w:tcPr>
          <w:p/>
        </w:tc>
        <w:tc>
          <w:tcPr>
            <w:tcW w:w="97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567" w:type="dxa"/>
            <w:vAlign w:val="center"/>
          </w:tcPr>
          <w:p/>
          <w:p/>
        </w:tc>
        <w:tc>
          <w:tcPr>
            <w:tcW w:w="3523" w:type="dxa"/>
            <w:vAlign w:val="center"/>
          </w:tcPr>
          <w:p/>
        </w:tc>
        <w:tc>
          <w:tcPr>
            <w:tcW w:w="1639" w:type="dxa"/>
            <w:vAlign w:val="center"/>
          </w:tcPr>
          <w:p/>
        </w:tc>
        <w:tc>
          <w:tcPr>
            <w:tcW w:w="1063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091" w:type="dxa"/>
            <w:vAlign w:val="center"/>
          </w:tcPr>
          <w:p/>
        </w:tc>
        <w:tc>
          <w:tcPr>
            <w:tcW w:w="970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567" w:type="dxa"/>
            <w:vAlign w:val="center"/>
          </w:tcPr>
          <w:p/>
          <w:p/>
        </w:tc>
        <w:tc>
          <w:tcPr>
            <w:tcW w:w="3523" w:type="dxa"/>
            <w:vAlign w:val="center"/>
          </w:tcPr>
          <w:p/>
        </w:tc>
        <w:tc>
          <w:tcPr>
            <w:tcW w:w="1639" w:type="dxa"/>
            <w:vAlign w:val="center"/>
          </w:tcPr>
          <w:p/>
        </w:tc>
        <w:tc>
          <w:tcPr>
            <w:tcW w:w="1063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091" w:type="dxa"/>
            <w:vAlign w:val="center"/>
          </w:tcPr>
          <w:p/>
        </w:tc>
        <w:tc>
          <w:tcPr>
            <w:tcW w:w="970" w:type="dxa"/>
            <w:vAlign w:val="center"/>
          </w:tcPr>
          <w:p/>
        </w:tc>
      </w:tr>
    </w:tbl>
    <w:p/>
    <w:tbl>
      <w:tblPr>
        <w:tblStyle w:val="6"/>
        <w:tblpPr w:leftFromText="180" w:rightFromText="180" w:vertAnchor="text" w:horzAnchor="page" w:tblpX="1240" w:tblpY="185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3706"/>
        <w:gridCol w:w="1418"/>
        <w:gridCol w:w="1134"/>
        <w:gridCol w:w="992"/>
        <w:gridCol w:w="850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747" w:type="dxa"/>
            <w:gridSpan w:val="7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Cs w:val="21"/>
              </w:rPr>
              <w:t xml:space="preserve">任选条件之④ </w:t>
            </w:r>
            <w:r>
              <w:rPr>
                <w:rFonts w:hint="eastAsia"/>
                <w:b/>
                <w:bCs/>
              </w:rPr>
              <w:t>授权专利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706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授权专利名称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授权时间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第几发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明人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转让或实施情况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/>
          <w:p/>
        </w:tc>
        <w:tc>
          <w:tcPr>
            <w:tcW w:w="3706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/>
          <w:p/>
        </w:tc>
        <w:tc>
          <w:tcPr>
            <w:tcW w:w="3706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/>
          <w:p/>
        </w:tc>
        <w:tc>
          <w:tcPr>
            <w:tcW w:w="3706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13" w:type="dxa"/>
            <w:vAlign w:val="center"/>
          </w:tcPr>
          <w:p/>
        </w:tc>
        <w:tc>
          <w:tcPr>
            <w:tcW w:w="3706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13" w:type="dxa"/>
            <w:vAlign w:val="center"/>
          </w:tcPr>
          <w:p/>
        </w:tc>
        <w:tc>
          <w:tcPr>
            <w:tcW w:w="3706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</w:tbl>
    <w:p>
      <w:r>
        <w:rPr>
          <w:rFonts w:hint="eastAsia"/>
        </w:rPr>
        <w:t xml:space="preserve"> </w:t>
      </w:r>
    </w:p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⑤ </w:t>
            </w:r>
            <w:r>
              <w:rPr>
                <w:rFonts w:hint="eastAsia"/>
                <w:b/>
                <w:bCs/>
              </w:rPr>
              <w:t>研究报告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报告名称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6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任选条件之⑥ 专场音乐会（音乐舞蹈类）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主题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6"/>
        <w:tblpPr w:leftFromText="180" w:rightFromText="180" w:vertAnchor="text" w:horzAnchor="page" w:tblpX="1240" w:tblpY="185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3706"/>
        <w:gridCol w:w="1276"/>
        <w:gridCol w:w="1134"/>
        <w:gridCol w:w="1134"/>
        <w:gridCol w:w="850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747" w:type="dxa"/>
            <w:gridSpan w:val="7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Cs w:val="21"/>
              </w:rPr>
              <w:t>任选条件之</w:t>
            </w:r>
            <w:r>
              <w:rPr>
                <w:rFonts w:hint="eastAsia"/>
                <w:b/>
                <w:bCs/>
              </w:rPr>
              <w:t>⑦ 授权专利（美术设计类）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706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授权专利名称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授权时间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第几发明人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转让或实</w:t>
            </w:r>
          </w:p>
          <w:p>
            <w:pPr>
              <w:jc w:val="center"/>
            </w:pPr>
            <w:r>
              <w:rPr>
                <w:rFonts w:hint="eastAsia"/>
              </w:rPr>
              <w:t>施情况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/>
          <w:p/>
        </w:tc>
        <w:tc>
          <w:tcPr>
            <w:tcW w:w="3706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/>
          <w:p/>
        </w:tc>
        <w:tc>
          <w:tcPr>
            <w:tcW w:w="3706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/>
          <w:p/>
        </w:tc>
        <w:tc>
          <w:tcPr>
            <w:tcW w:w="3706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13" w:type="dxa"/>
            <w:vAlign w:val="center"/>
          </w:tcPr>
          <w:p/>
        </w:tc>
        <w:tc>
          <w:tcPr>
            <w:tcW w:w="3706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13" w:type="dxa"/>
            <w:vAlign w:val="center"/>
          </w:tcPr>
          <w:p/>
        </w:tc>
        <w:tc>
          <w:tcPr>
            <w:tcW w:w="3706" w:type="dxa"/>
            <w:vAlign w:val="center"/>
          </w:tcPr>
          <w:p/>
        </w:tc>
        <w:tc>
          <w:tcPr>
            <w:tcW w:w="1276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170"/>
        <w:gridCol w:w="1323"/>
        <w:gridCol w:w="11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任选条件之⑧ 全国口译笔译大赛（外语类）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获奖名称</w:t>
            </w:r>
          </w:p>
        </w:tc>
        <w:tc>
          <w:tcPr>
            <w:tcW w:w="13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获奖等级</w:t>
            </w:r>
          </w:p>
        </w:tc>
        <w:tc>
          <w:tcPr>
            <w:tcW w:w="113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170"/>
        <w:gridCol w:w="1323"/>
        <w:gridCol w:w="11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个人公开学术讲座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题 目</w:t>
            </w:r>
          </w:p>
        </w:tc>
        <w:tc>
          <w:tcPr>
            <w:tcW w:w="13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13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举办地点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对象及人数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会计报表格式变更</w:t>
            </w: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经济与管理学院</w:t>
            </w:r>
          </w:p>
        </w:tc>
        <w:tc>
          <w:tcPr>
            <w:tcW w:w="1133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2018.12.4</w:t>
            </w:r>
          </w:p>
        </w:tc>
        <w:tc>
          <w:tcPr>
            <w:tcW w:w="1133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文学楼308</w:t>
            </w:r>
          </w:p>
        </w:tc>
        <w:tc>
          <w:tcPr>
            <w:tcW w:w="1389" w:type="dxa"/>
          </w:tcPr>
          <w:p>
            <w:pPr>
              <w:widowControl/>
              <w:jc w:val="center"/>
            </w:pPr>
            <w:r>
              <w:rPr>
                <w:rFonts w:hint="eastAsia"/>
              </w:rPr>
              <w:t>在校生相关专业95人</w:t>
            </w: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/>
    <w:p>
      <w:pPr>
        <w:widowControl/>
        <w:jc w:val="left"/>
      </w:pPr>
      <w:r>
        <w:br w:type="page"/>
      </w:r>
    </w:p>
    <w:p>
      <w:pPr>
        <w:widowControl/>
        <w:jc w:val="left"/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0" w:hRule="atLeast"/>
        </w:trPr>
        <w:tc>
          <w:tcPr>
            <w:tcW w:w="9854" w:type="dxa"/>
          </w:tcPr>
          <w:p/>
          <w:p>
            <w:pPr>
              <w:spacing w:line="42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李丛，女，1982年生，民盟盟员，本科学历，硕士学位，2009年6月毕业于天津财经大学会计学专业（MPACC），2006年考取注册会计师，2009年5月考取中级会计师，2017年1月获得高级会计师职称；2017年4月顺利通过美国注册管理会计师考试（CMA），2017年11月通过心理咨询师二级考试，2018年3月经过笔试和面试筛选成为海南省第三届会计领军人才培养对象，2018年11月通过税务师考试三门课程。工作上，我从2004年9月起就职于济宁医学院财务处，先后从事过出纳、基建会计、后勤会计、校园一卡通、学生收费等工作；2015年8月到海南大学儋州校区工作，任专任教师，2016年9月担任财管会计教研室主任，2017年3月任会计专业负责人。2017年6月来到我校经济与管理学院会计系，2018年6月起担任会计系主任。现将本人近几年的个人情况汇报如下：</w:t>
            </w:r>
          </w:p>
          <w:p>
            <w:pPr>
              <w:spacing w:line="420" w:lineRule="exact"/>
              <w:ind w:firstLine="482" w:firstLineChars="200"/>
              <w:rPr>
                <w:rFonts w:eastAsia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一、思想政治方面</w:t>
            </w:r>
          </w:p>
          <w:p>
            <w:pPr>
              <w:spacing w:line="42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作为一名民盟盟员，我坚决拥护中国共产党的领导，坚持党的教育方针，认真学习学院组织的各种培训学习，及时更新教育观念，努力提高自己以更好的适应教学工作。同时关注时政，并坚持做到对其冷静、客观的分析，积极践行社会主义核心价值观。我担任会计3+2班班主任，深入学生生活，通过走访学生宿舍了解情况，更好的指导他们的学习、生活、思想。同时作为3+2班的任课教师，在上课和生活过程中实现动态监督和指导，及时解决他们出现的各种问题，成为学生的良师益友。</w:t>
            </w:r>
          </w:p>
          <w:p>
            <w:pPr>
              <w:spacing w:line="360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二、教学工作方面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2004年6月本科毕业后我先后在曲阜师范大学、日照外国语学院担任兼职教师，直到2015年10月来到海南才成为一名专职教师。在担任专职教师近四年的时间里，我认真践行老师的职责，在近四年的时间中完成2100多课时教学任务，指导学生论文近50篇，指导学生毕业实习工作三届，主要教授《审计学》、《企业内部控制学》、《会计电算化》《成本会计》《中级财务会计学》《会计学原理》《高级财务会计》《预算会计》《税收筹划》及相应的实训课程，在评教中每一门课都在92分以上，特别是企业内部控制课程，在办学条件有限的情况下由全新的教学理念和不同的教学方法，使学生真正在乐中学，做到学以致用。2016年9月被任命为海南大学儋州校区管理学部副主任兼财务管理、会计学教研室主任。在教研室工作中，根据市场变化合理规划和调整课程设置，重新主持制定了2017级会计专业的培养方案，以适应培养应用型人才的趋势。充分发挥教研室的团队作用，立足社会实践，注意师生的专业技能培训。2016年6月带领学生参加“新道杯”沙盘模拟经营大赛取得海南省三等奖，11月再次带队参加第十届“新道杯”全国大学生创新会计人才技能大赛，三只队伍分别获得全国二、二、三等奖。2017年6月考入我校经济与管理学院会计系，担任三门专业核心课的讲授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按照学院要求及时批改作业，按学生掌握知识情况及时调整教学进度，开展线上教学，完成了三门课程的线上建设，取得了良好的效果。我积极参加学校组织的各项比赛活动，在第十届青年教师大赛中取得理科第二名的成绩，在微课比赛中获得优秀奖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三、科研能力方面</w:t>
            </w:r>
          </w:p>
          <w:p>
            <w:pPr>
              <w:spacing w:line="5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2016年11月主持完成海口市社科联“菜篮子”工程建设项目研究，共发表论文10余篇，北大核心三篇，其中《互联网零售企业获取销售返利的会计处理》被中国人民大学报刊资料中心复印报刊资料F1011《财务与会计导刊（上半月.实务版）》2018年第10期全文转载。在学术工作中，积极引导学生参与，发挥学生的主观能动性，实现课堂知识课外应用。2016年上半年参加编写了清华大学出版社教材《管理会计》的第三章与第四章部分、清华大学出版社教材《会计综合技能实训》企业制度与会计电算化部分；组织学生一起撰写《场景式财务信息化》，并设计了通过扫二维码看录屏来学习，来弥补本科会计电算化教材的不足。2018年5月出版专著一部《会计理论与会计报表研究》，在学校范围内完成专业学术报告一场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四、生活和群众基础</w:t>
            </w:r>
          </w:p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生活方面，积极乐观，作风端正，坚持艰苦朴素的作风，无铺张浪费现象；同时，也与周围的同事、朋友相处融洽，并力所能及地帮助朋友，处处为学生的考虑，受到老师和同学的一致好评，是学生的良师益友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是我近几年在专业技术方面取得的成绩，由于毕业后做了11年的会计实务工作，在科研方面起步较晚，所以没有取得显著成绩，这也是日后我要努力的方向，同时作为一名向教学型方向发展的教师，还要努力提高自己的教学水平，争取更大的突破和更好的创新。</w:t>
            </w:r>
          </w:p>
          <w:p>
            <w:pPr>
              <w:spacing w:line="420" w:lineRule="exact"/>
              <w:ind w:firstLine="480" w:firstLineChars="200"/>
              <w:rPr>
                <w:sz w:val="24"/>
              </w:rPr>
            </w:pPr>
          </w:p>
          <w:p/>
          <w:p/>
          <w:p/>
          <w:p>
            <w:r>
              <w:rPr>
                <w:rFonts w:hint="eastAsia"/>
              </w:rPr>
              <w:t>本人承诺：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</w:tc>
      </w:tr>
    </w:tbl>
    <w:p/>
    <w:tbl>
      <w:tblPr>
        <w:tblStyle w:val="5"/>
        <w:tblW w:w="9888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各基层专业技术评审工作委员会审核推荐意见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依据《海南师范大学教师系列专业技术职务评审管理办法（暂行）》（海师办[2018]99号文规定，经鉴定审核，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u w:val="single"/>
              </w:rPr>
              <w:t xml:space="preserve">              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专业技术资格职称。</w:t>
            </w:r>
          </w:p>
          <w:p>
            <w:pPr>
              <w:widowControl/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材料审核人：              学院院长签字（盖章）：         年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同行专家评审代表作名称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代表作1名称：合并报表中的优先股合并抵销问题探析——基于《优先股试点管理办法》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代表作2名称：互联网零售企业获取销售返利的会计处理</w:t>
            </w:r>
            <w:bookmarkStart w:id="0" w:name="_GoBack"/>
            <w:bookmarkEnd w:id="0"/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外审结论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同意    票，不同意    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学校职称办预审意见：</w:t>
            </w: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申请人答辨情况：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10"/>
              <w:rPr>
                <w:kern w:val="0"/>
              </w:rPr>
            </w:pPr>
          </w:p>
          <w:p>
            <w:pPr>
              <w:pStyle w:val="10"/>
              <w:rPr>
                <w:kern w:val="0"/>
              </w:rPr>
            </w:pPr>
          </w:p>
          <w:p>
            <w:pPr>
              <w:pStyle w:val="10"/>
              <w:rPr>
                <w:kern w:val="0"/>
              </w:rPr>
            </w:pPr>
          </w:p>
          <w:p>
            <w:pPr>
              <w:pStyle w:val="10"/>
              <w:rPr>
                <w:kern w:val="0"/>
              </w:rPr>
            </w:pPr>
          </w:p>
          <w:p>
            <w:pPr>
              <w:pStyle w:val="10"/>
              <w:rPr>
                <w:kern w:val="0"/>
              </w:rPr>
            </w:pPr>
          </w:p>
          <w:p>
            <w:pPr>
              <w:pStyle w:val="10"/>
              <w:rPr>
                <w:kern w:val="0"/>
              </w:rPr>
            </w:pPr>
          </w:p>
          <w:p>
            <w:pPr>
              <w:pStyle w:val="10"/>
              <w:rPr>
                <w:kern w:val="0"/>
              </w:rPr>
            </w:pPr>
          </w:p>
          <w:p>
            <w:pPr>
              <w:pStyle w:val="10"/>
              <w:rPr>
                <w:kern w:val="0"/>
              </w:rPr>
            </w:pPr>
          </w:p>
          <w:p>
            <w:pPr>
              <w:pStyle w:val="10"/>
              <w:rPr>
                <w:kern w:val="0"/>
              </w:rPr>
            </w:pPr>
          </w:p>
          <w:p>
            <w:pPr>
              <w:pStyle w:val="10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专家签名：                                                            日期：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44"/>
        </w:rPr>
      </w:pPr>
      <w:r>
        <w:rPr>
          <w:rFonts w:hint="eastAsia" w:ascii="Calibri" w:hAnsi="Calibri" w:eastAsia="黑体" w:cs="Times New Roman"/>
          <w:sz w:val="44"/>
        </w:rPr>
        <w:t>评  审  审  批  意  见</w:t>
      </w:r>
    </w:p>
    <w:tbl>
      <w:tblPr>
        <w:tblStyle w:val="5"/>
        <w:tblW w:w="9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76EF67"/>
    <w:multiLevelType w:val="singleLevel"/>
    <w:tmpl w:val="EB76EF67"/>
    <w:lvl w:ilvl="0" w:tentative="0">
      <w:start w:val="1"/>
      <w:numFmt w:val="decimal"/>
      <w:lvlText w:val="[%1]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3126B"/>
    <w:rsid w:val="0002075C"/>
    <w:rsid w:val="00024587"/>
    <w:rsid w:val="00050B41"/>
    <w:rsid w:val="000734BB"/>
    <w:rsid w:val="000835E5"/>
    <w:rsid w:val="00086C19"/>
    <w:rsid w:val="00091D39"/>
    <w:rsid w:val="00093E8E"/>
    <w:rsid w:val="000A1C4F"/>
    <w:rsid w:val="000A53B5"/>
    <w:rsid w:val="000B25F1"/>
    <w:rsid w:val="000B5BC8"/>
    <w:rsid w:val="000B7E3F"/>
    <w:rsid w:val="000C7246"/>
    <w:rsid w:val="000E1FCC"/>
    <w:rsid w:val="000E777B"/>
    <w:rsid w:val="000F2B39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3F01"/>
    <w:rsid w:val="00171343"/>
    <w:rsid w:val="00180974"/>
    <w:rsid w:val="00192A61"/>
    <w:rsid w:val="001937B4"/>
    <w:rsid w:val="001B0A30"/>
    <w:rsid w:val="001D2597"/>
    <w:rsid w:val="001E1E38"/>
    <w:rsid w:val="00211798"/>
    <w:rsid w:val="00226AC5"/>
    <w:rsid w:val="002270A7"/>
    <w:rsid w:val="00271356"/>
    <w:rsid w:val="002859E6"/>
    <w:rsid w:val="002C2E4D"/>
    <w:rsid w:val="002E42F6"/>
    <w:rsid w:val="002F1EC4"/>
    <w:rsid w:val="00314EE7"/>
    <w:rsid w:val="0033126B"/>
    <w:rsid w:val="0033420A"/>
    <w:rsid w:val="00342D04"/>
    <w:rsid w:val="00345CE6"/>
    <w:rsid w:val="00353FFB"/>
    <w:rsid w:val="0036206F"/>
    <w:rsid w:val="00384C68"/>
    <w:rsid w:val="003B5BA5"/>
    <w:rsid w:val="003C6F7B"/>
    <w:rsid w:val="003D6C2A"/>
    <w:rsid w:val="00410217"/>
    <w:rsid w:val="00413D18"/>
    <w:rsid w:val="00424D1B"/>
    <w:rsid w:val="00455996"/>
    <w:rsid w:val="004632E2"/>
    <w:rsid w:val="00477CC6"/>
    <w:rsid w:val="00481C0E"/>
    <w:rsid w:val="004849BB"/>
    <w:rsid w:val="00492E46"/>
    <w:rsid w:val="004A7AE8"/>
    <w:rsid w:val="004B1AFD"/>
    <w:rsid w:val="004F21A1"/>
    <w:rsid w:val="005011DB"/>
    <w:rsid w:val="00501DE0"/>
    <w:rsid w:val="00507D8E"/>
    <w:rsid w:val="00523155"/>
    <w:rsid w:val="00583E93"/>
    <w:rsid w:val="005E06B1"/>
    <w:rsid w:val="005E3440"/>
    <w:rsid w:val="005E58F4"/>
    <w:rsid w:val="00607D1E"/>
    <w:rsid w:val="00622561"/>
    <w:rsid w:val="00623BB8"/>
    <w:rsid w:val="00647D66"/>
    <w:rsid w:val="00661C50"/>
    <w:rsid w:val="00661D38"/>
    <w:rsid w:val="00690D02"/>
    <w:rsid w:val="00691EF6"/>
    <w:rsid w:val="006E5989"/>
    <w:rsid w:val="006E7E68"/>
    <w:rsid w:val="007031A9"/>
    <w:rsid w:val="007313BA"/>
    <w:rsid w:val="00734128"/>
    <w:rsid w:val="007415CC"/>
    <w:rsid w:val="00741F1A"/>
    <w:rsid w:val="00746377"/>
    <w:rsid w:val="007A6787"/>
    <w:rsid w:val="007E7FD3"/>
    <w:rsid w:val="008269F0"/>
    <w:rsid w:val="00826A66"/>
    <w:rsid w:val="00830327"/>
    <w:rsid w:val="00833AA5"/>
    <w:rsid w:val="00867374"/>
    <w:rsid w:val="008678EB"/>
    <w:rsid w:val="00872E0F"/>
    <w:rsid w:val="008764C0"/>
    <w:rsid w:val="00876F0D"/>
    <w:rsid w:val="00882519"/>
    <w:rsid w:val="0089698F"/>
    <w:rsid w:val="008B4063"/>
    <w:rsid w:val="008B5E5E"/>
    <w:rsid w:val="008C4C0F"/>
    <w:rsid w:val="00911D43"/>
    <w:rsid w:val="00912A23"/>
    <w:rsid w:val="00956FEE"/>
    <w:rsid w:val="009624BB"/>
    <w:rsid w:val="00962F66"/>
    <w:rsid w:val="00967876"/>
    <w:rsid w:val="009C1F06"/>
    <w:rsid w:val="009E353C"/>
    <w:rsid w:val="009E64C8"/>
    <w:rsid w:val="00A03435"/>
    <w:rsid w:val="00A12F14"/>
    <w:rsid w:val="00A600A4"/>
    <w:rsid w:val="00AD5CCC"/>
    <w:rsid w:val="00AF445F"/>
    <w:rsid w:val="00B06BF4"/>
    <w:rsid w:val="00B07F41"/>
    <w:rsid w:val="00B16465"/>
    <w:rsid w:val="00B22E22"/>
    <w:rsid w:val="00B80533"/>
    <w:rsid w:val="00B82843"/>
    <w:rsid w:val="00BA646C"/>
    <w:rsid w:val="00BD1A32"/>
    <w:rsid w:val="00BD4E90"/>
    <w:rsid w:val="00C008D8"/>
    <w:rsid w:val="00C0165A"/>
    <w:rsid w:val="00C77711"/>
    <w:rsid w:val="00C96100"/>
    <w:rsid w:val="00CB1F99"/>
    <w:rsid w:val="00CD42FF"/>
    <w:rsid w:val="00CD7981"/>
    <w:rsid w:val="00D20B34"/>
    <w:rsid w:val="00D36A37"/>
    <w:rsid w:val="00D3748A"/>
    <w:rsid w:val="00D416C2"/>
    <w:rsid w:val="00D41CF0"/>
    <w:rsid w:val="00D66B57"/>
    <w:rsid w:val="00DA3AD6"/>
    <w:rsid w:val="00DA6B66"/>
    <w:rsid w:val="00DB02E4"/>
    <w:rsid w:val="00DC11A1"/>
    <w:rsid w:val="00DD5F4F"/>
    <w:rsid w:val="00DD7968"/>
    <w:rsid w:val="00DE299B"/>
    <w:rsid w:val="00E07849"/>
    <w:rsid w:val="00E161A5"/>
    <w:rsid w:val="00E206F2"/>
    <w:rsid w:val="00E713EE"/>
    <w:rsid w:val="00EB1023"/>
    <w:rsid w:val="00ED30F2"/>
    <w:rsid w:val="00EE2F78"/>
    <w:rsid w:val="00EE3937"/>
    <w:rsid w:val="00EE5924"/>
    <w:rsid w:val="00EE79DB"/>
    <w:rsid w:val="00F50D1D"/>
    <w:rsid w:val="00F75973"/>
    <w:rsid w:val="00F82DFD"/>
    <w:rsid w:val="00F841C6"/>
    <w:rsid w:val="00F8579D"/>
    <w:rsid w:val="00FA4387"/>
    <w:rsid w:val="00FD5538"/>
    <w:rsid w:val="00FF54C9"/>
    <w:rsid w:val="03705D05"/>
    <w:rsid w:val="04B9123C"/>
    <w:rsid w:val="0B1D648D"/>
    <w:rsid w:val="0B6B4229"/>
    <w:rsid w:val="0BE44C56"/>
    <w:rsid w:val="10C54D1F"/>
    <w:rsid w:val="16AD2FBB"/>
    <w:rsid w:val="16D30147"/>
    <w:rsid w:val="1E39700F"/>
    <w:rsid w:val="24591A29"/>
    <w:rsid w:val="27143F33"/>
    <w:rsid w:val="49976525"/>
    <w:rsid w:val="53295A89"/>
    <w:rsid w:val="56A1282A"/>
    <w:rsid w:val="573E2C87"/>
    <w:rsid w:val="58C51DAF"/>
    <w:rsid w:val="5DF274E9"/>
    <w:rsid w:val="71822D67"/>
    <w:rsid w:val="7AF5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none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52flin</Company>
  <Pages>1</Pages>
  <Words>1379</Words>
  <Characters>7861</Characters>
  <Lines>65</Lines>
  <Paragraphs>18</Paragraphs>
  <TotalTime>5</TotalTime>
  <ScaleCrop>false</ScaleCrop>
  <LinksUpToDate>false</LinksUpToDate>
  <CharactersWithSpaces>9222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2018-10-31T02:49:00Z</dcterms:created>
  <dc:creator>符桑岚</dc:creator>
  <cp:lastModifiedBy>Administrator</cp:lastModifiedBy>
  <cp:lastPrinted>2018-11-04T02:00:00Z</cp:lastPrinted>
  <dcterms:modified xsi:type="dcterms:W3CDTF">2019-04-15T09:43:12Z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